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r>
        <w:rPr/>
        <w:drawing xmlns:mc="http://schemas.openxmlformats.org/markup-compatibility/2006">
          <wp:inline>
            <wp:extent cx="5731510" cy="8101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 w:type="page"/>
      </w:r>
    </w:p>
    <w:p w14:paraId="00000002">
      <w:pPr>
        <w:spacing w:after="200" w:line="276" w:lineRule="auto"/>
        <w:ind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разработана на основе: </w:t>
      </w:r>
    </w:p>
    <w:p w14:paraId="00000003">
      <w:pPr>
        <w:pStyle w:val="Основнойтекст(3)"/>
        <w:shd w:val="clear" w:color="auto" w:fill="auto"/>
        <w:spacing w:after="0" w:line="240" w:lineRule="auto"/>
        <w:ind w:right="0" w:firstLine="567"/>
        <w:jc w:val="both"/>
        <w:rPr>
          <w:rFonts w:ascii="Times New Roman" w:cs="Times New Roman" w:hAnsi="Times New Roman"/>
          <w:i w:val="off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cs="Times New Roman" w:hAnsi="Times New Roman"/>
          <w:i w:val="off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>
        <w:rPr>
          <w:rFonts w:ascii="Times New Roman" w:cs="Times New Roman" w:hAnsi="Times New Roman"/>
          <w:i w:val="off"/>
          <w:color w:val="000000"/>
          <w:sz w:val="26"/>
          <w:szCs w:val="26"/>
        </w:rPr>
        <w:t>;</w:t>
      </w:r>
    </w:p>
    <w:p w14:paraId="00000004">
      <w:pPr>
        <w:pStyle w:val="Normal"/>
        <w:spacing w:after="0" w:line="240"/>
        <w:ind w:right="0"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rFonts w:ascii="Times New Roman" w:cs="Times New Roman" w:hAnsi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rPr>
          <w:rFonts w:ascii="Times New Roman" w:cs="Times New Roman" w:hAnsi="Times New Roman"/>
          <w:sz w:val="26"/>
          <w:szCs w:val="26"/>
        </w:rPr>
        <w:t>професси</w:t>
      </w:r>
      <w:r>
        <w:rPr>
          <w:rFonts w:ascii="Times New Roman" w:cs="Times New Roman" w:hAnsi="Times New Roman"/>
          <w:sz w:val="26"/>
          <w:szCs w:val="26"/>
        </w:rPr>
        <w:t xml:space="preserve">и: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теплоэнергетика.</w:t>
      </w:r>
      <w:r>
        <w:rPr>
          <w:rFonts w:ascii="Times New Roman" w:cs="Times New Roman" w:hAnsi="Times New Roman"/>
          <w:color w:val="000000"/>
          <w:sz w:val="26"/>
          <w:szCs w:val="26"/>
        </w:rPr>
        <w:t>;</w:t>
      </w:r>
    </w:p>
    <w:p w14:paraId="00000005">
      <w:pPr>
        <w:pStyle w:val="Normal"/>
        <w:spacing w:after="0" w:line="240"/>
        <w:ind w:right="0" w:firstLine="567"/>
        <w:jc w:val="both"/>
        <w:rPr>
          <w:rFonts w:ascii="Times New Roman" w:cs="Times New Roman" w:eastAsia="Calibri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cs="Times New Roman" w:hAnsi="Times New Roman"/>
          <w:color w:val="000000"/>
          <w:sz w:val="26"/>
          <w:szCs w:val="26"/>
          <w:shd w:val="clear" w:color="auto" w:fill="ffffff"/>
        </w:rPr>
        <w:t xml:space="preserve">подготовки квалифицированных рабочих, служащих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13.01.10 Электромонтер по ремонту и обслуживанию электрооборудования (по отраслям), 2024 </w:t>
      </w:r>
      <w:r>
        <w:rPr>
          <w:rFonts w:ascii="Times New Roman" w:cs="Times New Roman" w:hAnsi="Times New Roman"/>
          <w:sz w:val="26"/>
          <w:szCs w:val="26"/>
        </w:rPr>
        <w:t>г.;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006">
      <w:pPr>
        <w:pStyle w:val="Normal"/>
        <w:spacing w:after="0" w:line="240"/>
        <w:ind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cs="Times New Roman" w:eastAsia="Calibri" w:hAnsi="Times New Roman"/>
          <w:sz w:val="26"/>
          <w:szCs w:val="26"/>
        </w:rPr>
        <w:t xml:space="preserve">по </w:t>
      </w:r>
      <w:r>
        <w:rPr>
          <w:rFonts w:ascii="Times New Roman" w:cs="Times New Roman" w:hAnsi="Times New Roman"/>
          <w:sz w:val="26"/>
          <w:szCs w:val="26"/>
        </w:rPr>
        <w:t>профессии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13.01.10 Электромонтер по ремонту и обслуживанию электрооборудования (по отраслям), </w:t>
      </w:r>
      <w:r>
        <w:rPr>
          <w:rFonts w:ascii="Times New Roman" w:cs="Times New Roman" w:eastAsia="Calibri" w:hAnsi="Times New Roman"/>
          <w:sz w:val="26"/>
          <w:szCs w:val="26"/>
        </w:rPr>
        <w:t>2024</w:t>
      </w:r>
      <w:r>
        <w:rPr>
          <w:rFonts w:ascii="Times New Roman" w:cs="Times New Roman" w:eastAsia="Calibri" w:hAnsi="Times New Roman"/>
          <w:sz w:val="26"/>
          <w:szCs w:val="26"/>
        </w:rPr>
        <w:t xml:space="preserve"> г.</w:t>
      </w:r>
    </w:p>
    <w:p w14:paraId="00000007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008">
      <w:pPr>
        <w:spacing w:after="200" w:line="276" w:lineRule="auto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009">
      <w:pPr>
        <w:spacing w:after="200" w:line="276" w:lineRule="auto"/>
        <w:rPr>
          <w:rFonts w:ascii="Times New Roman" w:cs="Times New Roman" w:eastAsia="Calibri" w:hAnsi="Times New Roman"/>
          <w:b/>
          <w:sz w:val="26"/>
          <w:szCs w:val="26"/>
          <w:u w:val="single"/>
        </w:rPr>
      </w:pPr>
    </w:p>
    <w:p w14:paraId="0000000A">
      <w:pPr>
        <w:spacing w:after="200" w:line="276" w:lineRule="auto"/>
        <w:rPr>
          <w:rFonts w:ascii="Times New Roman" w:cs="Times New Roman" w:eastAsia="Calibri" w:hAnsi="Times New Roman"/>
          <w:sz w:val="26"/>
          <w:szCs w:val="26"/>
          <w:u w:val="single"/>
        </w:rPr>
      </w:pPr>
      <w:r>
        <w:rPr>
          <w:rFonts w:ascii="Times New Roman" w:cs="Times New Roman" w:eastAsia="Calibri" w:hAnsi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cs="Times New Roman" w:eastAsia="Calibri" w:hAnsi="Times New Roman"/>
          <w:sz w:val="26"/>
          <w:szCs w:val="26"/>
          <w:u w:val="single"/>
        </w:rPr>
        <w:t>ГАПОУ  «Казанский политехнический колледж»</w:t>
      </w:r>
    </w:p>
    <w:p w14:paraId="0000000B">
      <w:pPr>
        <w:spacing w:after="200" w:line="276" w:lineRule="auto"/>
        <w:ind w:firstLine="709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br w:type="page"/>
      </w:r>
    </w:p>
    <w:p w14:paraId="0000000C">
      <w:pPr>
        <w:spacing w:after="200" w:line="276" w:lineRule="auto"/>
        <w:ind w:firstLine="709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>СОДЕРЖАНИЕ</w:t>
      </w:r>
    </w:p>
    <w:p w14:paraId="0000000D">
      <w:pPr>
        <w:spacing w:after="200" w:line="360" w:lineRule="auto"/>
        <w:ind w:firstLine="709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 xml:space="preserve">                                                                                                                  стр.</w:t>
      </w:r>
    </w:p>
    <w:p w14:paraId="0000000E">
      <w:pPr>
        <w:numPr>
          <w:ilvl w:val="0"/>
          <w:numId w:val="1"/>
        </w:numPr>
        <w:spacing w:after="200" w:line="360" w:lineRule="auto"/>
        <w:contextualSpacing w:val="on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Паспорт рабочей программы учебной дисциплины…………. ………4</w:t>
      </w:r>
    </w:p>
    <w:p w14:paraId="0000000F">
      <w:pPr>
        <w:numPr>
          <w:ilvl w:val="0"/>
          <w:numId w:val="1"/>
        </w:numPr>
        <w:spacing w:after="200" w:line="360" w:lineRule="auto"/>
        <w:contextualSpacing w:val="on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Структура и содержание учебной дисциплины…… … ...... .................6</w:t>
      </w:r>
    </w:p>
    <w:p w14:paraId="00000010">
      <w:pPr>
        <w:numPr>
          <w:ilvl w:val="0"/>
          <w:numId w:val="1"/>
        </w:numPr>
        <w:spacing w:after="200" w:line="360" w:lineRule="auto"/>
        <w:contextualSpacing w:val="on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Условия реализации учебной дисциплины………… …… …………...9</w:t>
      </w:r>
    </w:p>
    <w:p w14:paraId="00000011">
      <w:pPr>
        <w:numPr>
          <w:ilvl w:val="0"/>
          <w:numId w:val="1"/>
        </w:numPr>
        <w:spacing w:after="200" w:line="360" w:lineRule="auto"/>
        <w:contextualSpacing w:val="on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Контроль и оценка результатов освоения учебной дисциплины………………………………................................................11</w:t>
      </w:r>
    </w:p>
    <w:p w14:paraId="00000012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3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4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5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6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7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8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9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A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B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C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D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E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1F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20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21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22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23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24">
      <w:pPr>
        <w:spacing w:after="200" w:line="276" w:lineRule="auto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25">
      <w:pPr>
        <w:spacing w:after="0" w:line="240" w:lineRule="auto"/>
        <w:contextualSpacing w:val="on"/>
        <w:rPr>
          <w:rFonts w:ascii="Times New Roman" w:cs="Times New Roman" w:eastAsia="Times New Roman" w:hAnsi="Times New Roman"/>
          <w:b/>
          <w:sz w:val="26"/>
          <w:szCs w:val="26"/>
        </w:rPr>
      </w:pPr>
    </w:p>
    <w:p w14:paraId="00000026">
      <w:pPr>
        <w:spacing w:after="0" w:line="240" w:lineRule="auto"/>
        <w:ind w:firstLine="709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br w:type="page"/>
      </w:r>
    </w:p>
    <w:p w14:paraId="00000027">
      <w:pPr>
        <w:spacing w:after="0" w:line="240" w:lineRule="auto"/>
        <w:ind w:firstLine="709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>1. ПАСПОРТ РАБОЧЕЙ ПРОГРАММЫ УЧЕБНОЙ ДИСЦИПЛИНЫ «Иностранный язык в профессиональной деятельности»</w:t>
      </w:r>
    </w:p>
    <w:p w14:paraId="00000028">
      <w:pPr>
        <w:spacing w:after="0" w:line="240" w:lineRule="auto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>
        <w:rPr>
          <w:rFonts w:ascii="Times New Roman" w:cs="Times New Roman" w:eastAsia="Calibri" w:hAnsi="Times New Roman"/>
          <w:b/>
          <w:sz w:val="26"/>
          <w:szCs w:val="26"/>
        </w:rPr>
        <w:t>рабочей</w:t>
      </w: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14:paraId="0000002A">
      <w:pPr>
        <w:spacing w:after="0" w:line="240" w:lineRule="auto"/>
        <w:ind w:firstLine="567"/>
        <w:jc w:val="both"/>
        <w:rPr>
          <w:rFonts w:ascii="Times New Roman" w:cs="Times New Roman" w:eastAsia="Calibri" w:hAnsi="Times New Roman"/>
          <w:color w:val="000000"/>
          <w:sz w:val="26"/>
          <w:szCs w:val="26"/>
        </w:rPr>
      </w:pPr>
      <w:r>
        <w:rPr>
          <w:rFonts w:ascii="Times New Roman" w:cs="Times New Roman" w:eastAsia="Calibri" w:hAnsi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</w:t>
      </w:r>
      <w:r>
        <w:rPr>
          <w:rFonts w:ascii="Times New Roman" w:cs="Times New Roman" w:eastAsia="Calibri" w:hAnsi="Times New Roman"/>
          <w:color w:val="000000"/>
          <w:sz w:val="26"/>
          <w:szCs w:val="26"/>
        </w:rPr>
        <w:t xml:space="preserve">. </w:t>
      </w:r>
    </w:p>
    <w:p w14:paraId="0000002B">
      <w:pPr>
        <w:spacing w:after="0" w:line="240" w:lineRule="auto"/>
        <w:ind w:firstLine="567"/>
        <w:jc w:val="both"/>
        <w:rPr>
          <w:rFonts w:ascii="Times New Roman" w:cs="Times New Roman" w:eastAsia="Calibri" w:hAnsi="Times New Roman"/>
          <w:color w:val="000000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Рабочая программа учебной дисциплины «</w:t>
      </w:r>
      <w:r>
        <w:rPr>
          <w:rFonts w:ascii="Times New Roman" w:cs="Times New Roman" w:eastAsia="Calibri" w:hAnsi="Times New Roman"/>
          <w:sz w:val="26"/>
          <w:szCs w:val="26"/>
        </w:rPr>
        <w:t>Иностранный язык в профессиональной деятельности»</w:t>
      </w:r>
      <w:r>
        <w:rPr>
          <w:rFonts w:ascii="Times New Roman" w:cs="Times New Roman" w:eastAsia="Calibri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может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быть использована </w:t>
      </w:r>
      <w:r>
        <w:rPr>
          <w:rFonts w:ascii="Times New Roman" w:cs="Times New Roman" w:eastAsia="Calibri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>
        <w:rPr>
          <w:rFonts w:ascii="Times New Roman" w:cs="Times New Roman" w:eastAsia="Calibri" w:hAnsi="Times New Roman"/>
          <w:color w:val="000000"/>
          <w:sz w:val="26"/>
          <w:szCs w:val="26"/>
        </w:rPr>
        <w:t xml:space="preserve"> </w:t>
      </w:r>
    </w:p>
    <w:p w14:paraId="0000002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Calibri" w:hAnsi="Times New Roman"/>
          <w:color w:val="000000"/>
          <w:sz w:val="26"/>
          <w:szCs w:val="26"/>
        </w:rPr>
        <w:t>Профиль получаемого профессионального образования технологический.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0000002F">
      <w:pPr>
        <w:spacing w:after="0" w:line="240" w:lineRule="auto"/>
        <w:ind w:left="119" w:right="221" w:firstLine="709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Учебная дисциплина СГ.02</w:t>
      </w:r>
      <w:r>
        <w:rPr>
          <w:rFonts w:ascii="Times New Roman" w:cs="Times New Roman" w:eastAsia="Calibri" w:hAnsi="Times New Roman"/>
          <w:b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Иностранный язык в профессиональной деятельности</w:t>
      </w:r>
      <w:r>
        <w:rPr>
          <w:rFonts w:ascii="Times New Roman" w:cs="Times New Roman" w:eastAsia="Calibri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</w:t>
      </w:r>
      <w:r>
        <w:rPr>
          <w:rFonts w:ascii="Times New Roman" w:cs="Times New Roman" w:eastAsia="Calibri" w:hAnsi="Times New Roman"/>
          <w:sz w:val="26"/>
          <w:szCs w:val="26"/>
        </w:rPr>
        <w:t>.</w:t>
      </w:r>
    </w:p>
    <w:p w14:paraId="00000030">
      <w:pPr>
        <w:spacing w:after="0" w:line="240" w:lineRule="auto"/>
        <w:ind w:left="119" w:right="221" w:firstLine="709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Особое</w:t>
      </w:r>
      <w:r>
        <w:rPr>
          <w:rFonts w:ascii="Times New Roman" w:cs="Times New Roman" w:eastAsia="Calibri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значение</w:t>
      </w:r>
      <w:r>
        <w:rPr>
          <w:rFonts w:ascii="Times New Roman" w:cs="Times New Roman" w:eastAsia="Calibri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дисциплина</w:t>
      </w:r>
      <w:r>
        <w:rPr>
          <w:rFonts w:ascii="Times New Roman" w:cs="Times New Roman" w:eastAsia="Calibri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имеет</w:t>
      </w:r>
      <w:r>
        <w:rPr>
          <w:rFonts w:ascii="Times New Roman" w:cs="Times New Roman" w:eastAsia="Calibri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при</w:t>
      </w:r>
      <w:r>
        <w:rPr>
          <w:rFonts w:ascii="Times New Roman" w:cs="Times New Roman" w:eastAsia="Calibri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формировании</w:t>
      </w:r>
      <w:r>
        <w:rPr>
          <w:rFonts w:ascii="Times New Roman" w:cs="Times New Roman" w:eastAsia="Calibri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и</w:t>
      </w:r>
      <w:r>
        <w:rPr>
          <w:rFonts w:ascii="Times New Roman" w:cs="Times New Roman" w:eastAsia="Calibri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развитии</w:t>
      </w:r>
      <w:r>
        <w:rPr>
          <w:rFonts w:ascii="Times New Roman" w:cs="Times New Roman" w:eastAsia="Calibri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ОК</w:t>
      </w:r>
      <w:r>
        <w:rPr>
          <w:rFonts w:ascii="Times New Roman" w:cs="Times New Roman" w:eastAsia="Calibri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01,</w:t>
      </w:r>
      <w:r>
        <w:rPr>
          <w:rFonts w:ascii="Times New Roman" w:cs="Times New Roman" w:eastAsia="Calibri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ОК</w:t>
      </w:r>
      <w:r>
        <w:rPr>
          <w:rFonts w:ascii="Times New Roman" w:cs="Times New Roman" w:eastAsia="Calibri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02,</w:t>
      </w:r>
      <w:r>
        <w:rPr>
          <w:rFonts w:ascii="Times New Roman" w:cs="Times New Roman" w:eastAsia="Calibri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ОК</w:t>
      </w:r>
      <w:r>
        <w:rPr>
          <w:rFonts w:ascii="Times New Roman" w:cs="Times New Roman" w:eastAsia="Calibri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03, ОК 04, ОК 06, ОК 09.</w:t>
      </w:r>
      <w:r>
        <w:rPr>
          <w:rFonts w:ascii="Times New Roman" w:cs="Times New Roman" w:eastAsia="Calibri" w:hAnsi="Times New Roman"/>
          <w:sz w:val="26"/>
          <w:szCs w:val="26"/>
        </w:rPr>
        <w:tab/>
      </w:r>
    </w:p>
    <w:p w14:paraId="00000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Calibri" w:hAnsi="Times New Roman"/>
          <w:sz w:val="26"/>
          <w:szCs w:val="26"/>
        </w:rPr>
      </w:pPr>
    </w:p>
    <w:p w14:paraId="0000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 xml:space="preserve">           1.3.</w:t>
      </w:r>
      <w:r>
        <w:rPr>
          <w:rFonts w:ascii="Times New Roman" w:cs="Times New Roman" w:eastAsia="Times New Roman" w:hAnsi="Times New Roman"/>
          <w:b/>
          <w:sz w:val="26"/>
          <w:szCs w:val="26"/>
        </w:rPr>
        <w:tab/>
        <w:t>Цель и планируемые результаты освоения дисциплины:</w:t>
      </w:r>
    </w:p>
    <w:p w14:paraId="000000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>В рамках программы учебной дисциплины обучающимися осваиваются</w:t>
      </w:r>
    </w:p>
    <w:p w14:paraId="00000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  <w:t xml:space="preserve">Умения: </w:t>
      </w:r>
    </w:p>
    <w:p w14:paraId="00000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в области аудирования:</w:t>
      </w:r>
    </w:p>
    <w:p w14:paraId="0000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понимать отдельные фразы и наиболее употребительные слова в высказываниях, касающихся важных тем, связанных с трудовой деятельностью;</w:t>
      </w:r>
    </w:p>
    <w:p w14:paraId="00000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понимать, о чем идет речь в простых, четко произнесенных и небольших по объему сообщениях (в т. ч. устных инструкциях);</w:t>
      </w:r>
    </w:p>
    <w:p w14:paraId="00000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в области чтения:</w:t>
      </w:r>
    </w:p>
    <w:p w14:paraId="0000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читать и переводить тексты профессиональной направленности (со словарем);</w:t>
      </w:r>
    </w:p>
    <w:p w14:paraId="00000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в области общения:</w:t>
      </w:r>
    </w:p>
    <w:p w14:paraId="00000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деятельности;</w:t>
      </w:r>
    </w:p>
    <w:p w14:paraId="00000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поддерживать краткий разговор на производственные темы, используя простые фразы и предложения, рассказать о своей работе, учебе, планах;</w:t>
      </w:r>
    </w:p>
    <w:p w14:paraId="00000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в области письма:</w:t>
      </w:r>
    </w:p>
    <w:p w14:paraId="000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писать простые связные сообщения на знакомые или интересующие профессиональные темы.</w:t>
      </w:r>
    </w:p>
    <w:p w14:paraId="00000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  <w:t>Знания:</w:t>
      </w:r>
    </w:p>
    <w:p w14:paraId="00000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правил построения простых и сложных предложений на профессиональные темы;</w:t>
      </w:r>
    </w:p>
    <w:p w14:paraId="00000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основных общеупотребительных глаголов (бытовой и профессиональной лексики);</w:t>
      </w:r>
    </w:p>
    <w:p w14:paraId="00000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лексического минимума, относящегося к описанию предметов, средств и процессов профессиональной деятельности;</w:t>
      </w:r>
    </w:p>
    <w:p w14:paraId="00000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особенностей произношения;</w:t>
      </w:r>
    </w:p>
    <w:p w14:paraId="00000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правил чтения текстов профессиональной направленности;</w:t>
      </w:r>
    </w:p>
    <w:p w14:paraId="00000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  <w:t xml:space="preserve"> </w:t>
      </w:r>
    </w:p>
    <w:p w14:paraId="0000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Выпускник должен обладать </w:t>
      </w:r>
      <w:r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  <w:t>общепрофессиональными и профессиональными компетенциями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:</w:t>
      </w:r>
    </w:p>
    <w:p w14:paraId="00000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0000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0000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14:paraId="00000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00000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Выпускник, освоивший программу СГ.02 Иностранный язык в профессиональной деятельности, должен обладать личностными результатами в соответствии с рабочей программой воспитания по 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:</w:t>
      </w:r>
    </w:p>
    <w:p w14:paraId="000000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14:paraId="00000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000004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ab/>
        <w:t>Содержание дисциплины имеет межпредметные связи с профессиональным модулем.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000005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0000005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00000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учебная нагрузка обучающегося всего – 40 часов, в том числе:</w:t>
      </w:r>
    </w:p>
    <w:p w14:paraId="00000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во взаимодействии с преподавателем - 38 часов;</w:t>
      </w:r>
    </w:p>
    <w:p w14:paraId="00000055">
      <w:pPr>
        <w:spacing w:after="0" w:line="240" w:lineRule="auto"/>
        <w:ind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самостоятельная работа обучающегося - 2 часа</w:t>
      </w:r>
    </w:p>
    <w:p w14:paraId="00000056">
      <w:pPr>
        <w:spacing w:after="200" w:line="276" w:lineRule="auto"/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</w:pPr>
    </w:p>
    <w:p w14:paraId="00000057">
      <w:pPr>
        <w:spacing w:after="200" w:line="276" w:lineRule="auto"/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</w:pPr>
    </w:p>
    <w:p w14:paraId="00000058">
      <w:pPr>
        <w:spacing w:after="200" w:line="276" w:lineRule="auto"/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</w:pPr>
    </w:p>
    <w:p w14:paraId="00000059">
      <w:pPr>
        <w:spacing w:after="200" w:line="276" w:lineRule="auto"/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</w:pPr>
    </w:p>
    <w:p w14:paraId="0000005A">
      <w:pPr>
        <w:spacing w:after="200" w:line="276" w:lineRule="auto"/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</w:pPr>
    </w:p>
    <w:p w14:paraId="0000005B">
      <w:pPr>
        <w:spacing w:after="200" w:line="276" w:lineRule="auto"/>
        <w:rPr>
          <w:rFonts w:ascii="Times New Roman" w:cs="Times New Roman" w:eastAsia="Times New Roman" w:hAnsi="Times New Roman"/>
          <w:b/>
          <w:i/>
          <w:sz w:val="26"/>
          <w:szCs w:val="26"/>
          <w:lang w:eastAsia="ru-RU"/>
        </w:rPr>
      </w:pPr>
    </w:p>
    <w:p w14:paraId="0000005C">
      <w:pPr>
        <w:numPr>
          <w:ilvl w:val="0"/>
          <w:numId w:val="2"/>
        </w:numPr>
        <w:spacing w:before="120" w:after="0" w:line="240" w:lineRule="auto"/>
        <w:contextualSpacing w:val="on"/>
        <w:jc w:val="center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br w:type="page"/>
      </w:r>
    </w:p>
    <w:p w14:paraId="0000005D">
      <w:pPr>
        <w:spacing w:before="120" w:after="0" w:line="240" w:lineRule="auto"/>
        <w:ind w:left="0" w:right="0" w:firstLine="0"/>
        <w:contextualSpacing w:val="on"/>
        <w:jc w:val="center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val="ru-RU"/>
        </w:rPr>
        <w:t xml:space="preserve">2. </w:t>
      </w:r>
      <w:r>
        <w:rPr>
          <w:rFonts w:ascii="Times New Roman" w:cs="Times New Roman" w:eastAsia="Times New Roman" w:hAnsi="Times New Roman"/>
          <w:b/>
          <w:sz w:val="26"/>
          <w:szCs w:val="26"/>
        </w:rPr>
        <w:t>СТРУКТУРА И СОДЕРЖАНИЕ УЧЕБНОЙ ДИСЦИПЛИНЫ</w:t>
      </w:r>
    </w:p>
    <w:p w14:paraId="0000005E">
      <w:pPr>
        <w:spacing w:before="120" w:after="0" w:line="240" w:lineRule="auto"/>
        <w:ind w:left="0" w:right="0" w:firstLine="0"/>
        <w:contextualSpacing w:val="on"/>
        <w:jc w:val="center"/>
        <w:rPr>
          <w:rFonts w:ascii="Times New Roman" w:cs="Times New Roman" w:eastAsia="Times New Roman" w:hAnsi="Times New Roman"/>
          <w:b/>
          <w:sz w:val="26"/>
          <w:szCs w:val="26"/>
        </w:rPr>
      </w:pPr>
    </w:p>
    <w:p w14:paraId="0000005F">
      <w:pPr>
        <w:spacing w:after="200" w:line="276" w:lineRule="auto"/>
        <w:ind w:firstLine="709"/>
        <w:jc w:val="center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8484"/>
        <w:gridCol w:w="1667"/>
      </w:tblGrid>
      <w:tr>
        <w:trPr>
          <w:trHeight w:val="502" w:hRule="atLeast"/>
        </w:trPr>
        <w:tc>
          <w:tcPr>
            <w:cnfStyle w:val="101000000000"/>
            <w:tcW w:w="4179" w:type="pct"/>
            <w:vAlign w:val="center"/>
          </w:tcPr>
          <w:p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cnfStyle w:val="100100000000"/>
            <w:tcW w:w="821" w:type="pct"/>
            <w:vAlign w:val="center"/>
          </w:tcPr>
          <w:p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>
        <w:trPr>
          <w:trHeight w:val="178" w:hRule="atLeast"/>
        </w:trPr>
        <w:tc>
          <w:tcPr>
            <w:cnfStyle w:val="001000100000"/>
            <w:tcW w:w="4179" w:type="pct"/>
          </w:tcPr>
          <w:p w14:paraId="00000062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100100000"/>
            <w:tcW w:w="821" w:type="pct"/>
            <w:vAlign w:val="center"/>
          </w:tcPr>
          <w:p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40</w:t>
            </w:r>
          </w:p>
        </w:tc>
      </w:tr>
      <w:tr>
        <w:trPr>
          <w:trHeight w:val="274" w:hRule="atLeast"/>
        </w:trPr>
        <w:tc>
          <w:tcPr>
            <w:cnfStyle w:val="001000010000"/>
            <w:tcW w:w="4179" w:type="pct"/>
            <w:tcBorders>
              <w:right w:val="single" w:color="auto" w:sz="4" w:space="0"/>
            </w:tcBorders>
          </w:tcPr>
          <w:p w14:paraId="00000064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cnfStyle w:val="000100010000"/>
            <w:tcW w:w="821" w:type="pct"/>
            <w:tcBorders>
              <w:left w:val="single" w:color="auto" w:sz="4" w:space="0"/>
            </w:tcBorders>
            <w:vAlign w:val="center"/>
          </w:tcPr>
          <w:p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sz w:val="26"/>
                <w:szCs w:val="26"/>
                <w:lang w:eastAsia="ru-RU"/>
              </w:rPr>
              <w:t>38</w:t>
            </w:r>
          </w:p>
        </w:tc>
      </w:tr>
      <w:tr>
        <w:trPr>
          <w:trHeight w:val="262" w:hRule="atLeast"/>
        </w:trPr>
        <w:tc>
          <w:tcPr>
            <w:cnfStyle w:val="001000100000"/>
            <w:tcW w:w="4179" w:type="pct"/>
            <w:tcBorders>
              <w:right w:val="single" w:color="auto" w:sz="4" w:space="0"/>
            </w:tcBorders>
            <w:vAlign w:val="center"/>
          </w:tcPr>
          <w:p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cnfStyle w:val="000100100000"/>
            <w:tcW w:w="821" w:type="pct"/>
            <w:tcBorders>
              <w:left w:val="single" w:color="auto" w:sz="4" w:space="0"/>
            </w:tcBorders>
            <w:vAlign w:val="center"/>
          </w:tcPr>
          <w:p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>
        <w:trPr>
          <w:trHeight w:val="238" w:hRule="atLeast"/>
        </w:trPr>
        <w:tc>
          <w:tcPr>
            <w:cnfStyle w:val="001000010000"/>
            <w:tcW w:w="4179" w:type="pct"/>
            <w:vAlign w:val="center"/>
          </w:tcPr>
          <w:p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cnfStyle w:val="000100010000"/>
            <w:tcW w:w="821" w:type="pct"/>
            <w:vAlign w:val="center"/>
          </w:tcPr>
          <w:p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>
        <w:trPr>
          <w:trHeight w:val="166" w:hRule="atLeast"/>
        </w:trPr>
        <w:tc>
          <w:tcPr>
            <w:cnfStyle w:val="001000100000"/>
            <w:tcW w:w="4179" w:type="pct"/>
            <w:vAlign w:val="center"/>
          </w:tcPr>
          <w:p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cnfStyle w:val="000100100000"/>
            <w:tcW w:w="821" w:type="pct"/>
            <w:vAlign w:val="center"/>
          </w:tcPr>
          <w:p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>
        <w:trPr>
          <w:trHeight w:val="490"/>
        </w:trPr>
        <w:tc>
          <w:tcPr>
            <w:cnfStyle w:val="001000010000"/>
            <w:tcW w:w="4179" w:type="pct"/>
            <w:vAlign w:val="center"/>
          </w:tcPr>
          <w:p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Самостоятельная работа, в том числе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в условиях применения электронного обучения и дистанционных образовательных технологий:</w:t>
            </w:r>
          </w:p>
        </w:tc>
        <w:tc>
          <w:tcPr>
            <w:cnfStyle w:val="000100010000"/>
            <w:tcW w:w="821" w:type="pct"/>
            <w:vAlign w:val="center"/>
          </w:tcPr>
          <w:p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>
        <w:trPr>
          <w:trHeight w:val="250" w:hRule="atLeast"/>
        </w:trPr>
        <w:tc>
          <w:tcPr>
            <w:cnfStyle w:val="001000100000"/>
            <w:tcW w:w="4179" w:type="pct"/>
            <w:vAlign w:val="center"/>
          </w:tcPr>
          <w:p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перевод технических текстов</w:t>
            </w:r>
          </w:p>
        </w:tc>
        <w:tc>
          <w:tcPr>
            <w:cnfStyle w:val="000100100000"/>
            <w:tcW w:w="821" w:type="pct"/>
            <w:vAlign w:val="center"/>
          </w:tcPr>
          <w:p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>
        <w:trPr>
          <w:trHeight w:val="322" w:hRule="atLeast"/>
        </w:trPr>
        <w:tc>
          <w:tcPr>
            <w:cnfStyle w:val="001000010000"/>
            <w:tcW w:w="4179" w:type="pct"/>
            <w:vAlign w:val="center"/>
          </w:tcPr>
          <w:p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написание резюме, писем</w:t>
            </w:r>
          </w:p>
        </w:tc>
        <w:tc>
          <w:tcPr>
            <w:cnfStyle w:val="000100010000"/>
            <w:tcW w:w="821" w:type="pct"/>
            <w:vAlign w:val="center"/>
          </w:tcPr>
          <w:p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>
        <w:trPr>
          <w:trHeight w:val="238" w:hRule="atLeast"/>
        </w:trPr>
        <w:tc>
          <w:tcPr>
            <w:cnfStyle w:val="011000000000"/>
            <w:tcW w:w="5000" w:type="pct"/>
            <w:gridSpan w:val="2"/>
            <w:vAlign w:val="center"/>
          </w:tcPr>
          <w:p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Форма контроля    - </w:t>
            </w:r>
            <w:r>
              <w:rPr>
                <w:rFonts w:ascii="Times New Roman" w:cs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   дифференцированный зачет                        </w:t>
            </w:r>
          </w:p>
        </w:tc>
      </w:tr>
    </w:tbl>
    <w:p w14:paraId="00000073">
      <w:pPr>
        <w:spacing w:before="120" w:after="120" w:line="240" w:lineRule="auto"/>
        <w:ind w:left="1140"/>
        <w:rPr>
          <w:rFonts w:ascii="Times New Roman" w:cs="Times New Roman" w:eastAsia="Times New Roman" w:hAnsi="Times New Roman"/>
          <w:b/>
          <w:sz w:val="26"/>
          <w:szCs w:val="26"/>
        </w:rPr>
        <w:sectPr>
          <w:footerReference w:type="first" r:id="rId6"/>
          <w:pgSz w:w="11906" w:h="16838"/>
          <w:pgMar w:top="851" w:right="851" w:bottom="1134" w:left="1134" w:header="708" w:footer="708" w:gutter="0"/>
          <w:cols w:space="720"/>
          <w:titlePg/>
        </w:sectPr>
      </w:pPr>
    </w:p>
    <w:p w14:paraId="00000074">
      <w:pPr>
        <w:spacing w:before="120" w:after="120" w:line="240" w:lineRule="auto"/>
        <w:ind w:left="1140"/>
        <w:rPr>
          <w:rFonts w:ascii="Times New Roman" w:cs="Times New Roman" w:eastAsia="Times New Roman" w:hAnsi="Times New Roman"/>
          <w:b/>
          <w:sz w:val="26"/>
          <w:szCs w:val="26"/>
        </w:rPr>
      </w:pPr>
    </w:p>
    <w:p w14:paraId="00000075">
      <w:pPr>
        <w:spacing w:after="0" w:line="240" w:lineRule="auto"/>
        <w:ind w:left="1140"/>
        <w:contextualSpacing w:val="on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>2.2 Тематический план и содержание учебной дисциплины</w:t>
      </w:r>
    </w:p>
    <w:p w14:paraId="00000076">
      <w:pPr>
        <w:spacing w:after="0" w:line="240" w:lineRule="auto"/>
        <w:ind w:left="1140"/>
        <w:contextualSpacing w:val="on"/>
        <w:rPr>
          <w:rFonts w:ascii="Times New Roman" w:cs="Times New Roman" w:eastAsia="Times New Roman" w:hAnsi="Times New Roman"/>
          <w:b/>
          <w:sz w:val="26"/>
          <w:szCs w:val="26"/>
        </w:rPr>
      </w:pPr>
    </w:p>
    <w:tbl>
      <w:tblPr>
        <w:tblStyle w:val="TableGrid"/>
        <w:tblW w:w="15450" w:type="dxa"/>
        <w:tblLook w:val="04A0"/>
      </w:tblPr>
      <w:tblGrid>
        <w:gridCol w:w="2706"/>
        <w:gridCol w:w="9761"/>
        <w:gridCol w:w="1721"/>
        <w:gridCol w:w="1262"/>
      </w:tblGrid>
      <w:tr>
        <w:trPr>
          <w:trHeight w:val="457"/>
        </w:trPr>
        <w:tc>
          <w:tcPr>
            <w:cnfStyle w:val="101000000000"/>
            <w:tcW w:w="1246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77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  <w:u w:val="single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cnfStyle w:val="100000000000"/>
            <w:tcW w:w="2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78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Всего:</w:t>
            </w:r>
          </w:p>
          <w:p w14:paraId="00000079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40 часов</w:t>
            </w:r>
          </w:p>
        </w:tc>
      </w:tr>
      <w:tr>
        <w:trPr>
          <w:trHeight w:val="562"/>
        </w:trPr>
        <w:tc>
          <w:tcPr>
            <w:cnfStyle w:val="001000100000"/>
            <w:tcW w:w="2706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0000007A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  <w:p w14:paraId="0000007B">
            <w:pPr>
              <w:tabs>
                <w:tab w:val="left" w:pos="5520"/>
              </w:tabs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Тема 1.1</w:t>
            </w:r>
          </w:p>
          <w:p w14:paraId="0000007C">
            <w:pPr>
              <w:tabs>
                <w:tab w:val="left" w:pos="5520"/>
              </w:tabs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 xml:space="preserve">Материалы, оборудование и инструменты по компетенциям «Сантехника и отопление» </w:t>
            </w:r>
          </w:p>
          <w:p w14:paraId="0000007D">
            <w:pPr>
              <w:tabs>
                <w:tab w:val="left" w:pos="5520"/>
              </w:tabs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10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7E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1-2 Роль иностранных языков в профессиональной карьере</w:t>
            </w:r>
          </w:p>
        </w:tc>
        <w:tc>
          <w:tcPr>
            <w:cnfStyle w:val="00000010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7F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80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1</w:t>
            </w:r>
          </w:p>
        </w:tc>
      </w:tr>
      <w:tr>
        <w:trPr>
          <w:trHeight w:val="562"/>
        </w:trPr>
        <w:tc>
          <w:tcPr>
            <w:cnfStyle w:val="001000010000"/>
            <w:tcW w:w="2706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00000081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01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2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3-4 </w:t>
            </w: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Практическое занятие /П.П. «Чтение и перевод технической документации «Слесарные и электромонтажные работы»</w:t>
            </w:r>
          </w:p>
        </w:tc>
        <w:tc>
          <w:tcPr>
            <w:cnfStyle w:val="00000001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3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84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</w:p>
        </w:tc>
      </w:tr>
      <w:tr>
        <w:trPr>
          <w:trHeight w:val="188"/>
        </w:trPr>
        <w:tc>
          <w:tcPr>
            <w:cnfStyle w:val="001000100000"/>
            <w:tcW w:w="2706" w:type="dxa"/>
            <w:vMerge w:val="continue"/>
            <w:tcBorders>
              <w:right w:val="single" w:color="auto" w:sz="4" w:space="0"/>
            </w:tcBorders>
          </w:tcPr>
          <w:p w14:paraId="00000085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10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6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5-6 Практическое занятие  «Описание процесса монтажа сети освещения»</w:t>
            </w:r>
          </w:p>
        </w:tc>
        <w:tc>
          <w:tcPr>
            <w:cnfStyle w:val="00000010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7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88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254"/>
        </w:trPr>
        <w:tc>
          <w:tcPr>
            <w:cnfStyle w:val="001000010000"/>
            <w:tcW w:w="2706" w:type="dxa"/>
            <w:vMerge w:val="continue"/>
            <w:tcBorders>
              <w:right w:val="single" w:color="auto" w:sz="4" w:space="0"/>
            </w:tcBorders>
          </w:tcPr>
          <w:p w14:paraId="00000089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01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A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7-8 Практическое занятие /П.П.  «Чтение и перевод технической терминологии по теме «Сантехнические устройства»»</w:t>
            </w:r>
          </w:p>
        </w:tc>
        <w:tc>
          <w:tcPr>
            <w:cnfStyle w:val="00000001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B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8C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254"/>
        </w:trPr>
        <w:tc>
          <w:tcPr>
            <w:cnfStyle w:val="001000100000"/>
            <w:tcW w:w="2706" w:type="dxa"/>
            <w:vMerge w:val="continue"/>
            <w:tcBorders>
              <w:right w:val="single" w:color="auto" w:sz="4" w:space="0"/>
            </w:tcBorders>
          </w:tcPr>
          <w:p w14:paraId="0000008D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10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E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9-10 Практическое занятие /П.П.  «Описание процесса монтажа сантехнического оборудования»</w:t>
            </w:r>
          </w:p>
        </w:tc>
        <w:tc>
          <w:tcPr>
            <w:cnfStyle w:val="00000010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8F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90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</w:p>
        </w:tc>
      </w:tr>
      <w:tr>
        <w:trPr>
          <w:trHeight w:val="562"/>
        </w:trPr>
        <w:tc>
          <w:tcPr>
            <w:cnfStyle w:val="001000010000"/>
            <w:tcW w:w="2706" w:type="dxa"/>
            <w:vMerge w:val="continue"/>
            <w:tcBorders>
              <w:right w:val="single" w:color="auto" w:sz="4" w:space="0"/>
            </w:tcBorders>
          </w:tcPr>
          <w:p w14:paraId="00000091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01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2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11-12 Практическое занятие  «Описание процесса комплексной замены сантехники и инженерных систем»</w:t>
            </w:r>
          </w:p>
        </w:tc>
        <w:tc>
          <w:tcPr>
            <w:cnfStyle w:val="00000001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3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94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331"/>
        </w:trPr>
        <w:tc>
          <w:tcPr>
            <w:cnfStyle w:val="001000100000"/>
            <w:tcW w:w="2706" w:type="dxa"/>
            <w:vMerge w:val="continue"/>
            <w:tcBorders>
              <w:right w:val="single" w:color="auto" w:sz="4" w:space="0"/>
            </w:tcBorders>
          </w:tcPr>
          <w:p w14:paraId="00000095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10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6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13-14 Практическое занятие  «Аварийные ремонтные работы» (просмотр видеоролика). </w:t>
            </w:r>
          </w:p>
        </w:tc>
        <w:tc>
          <w:tcPr>
            <w:cnfStyle w:val="00000010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7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98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264"/>
        </w:trPr>
        <w:tc>
          <w:tcPr>
            <w:cnfStyle w:val="001000010000"/>
            <w:tcW w:w="2706" w:type="dxa"/>
            <w:vMerge w:val="continue"/>
            <w:tcBorders>
              <w:right w:val="single" w:color="auto" w:sz="4" w:space="0"/>
            </w:tcBorders>
          </w:tcPr>
          <w:p w14:paraId="00000099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01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A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15-16 Практическое занятие   «Демонтаж сантехники (подготовка презентации)»</w:t>
            </w:r>
          </w:p>
        </w:tc>
        <w:tc>
          <w:tcPr>
            <w:cnfStyle w:val="00000001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9B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9C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474"/>
        </w:trPr>
        <w:tc>
          <w:tcPr>
            <w:cnfStyle w:val="001000100000"/>
            <w:tcW w:w="2706" w:type="dxa"/>
            <w:vMerge w:val="restart"/>
            <w:tcBorders>
              <w:right w:val="single" w:color="auto" w:sz="4" w:space="0"/>
            </w:tcBorders>
          </w:tcPr>
          <w:p w14:paraId="0000009D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Тема</w:t>
            </w:r>
            <w:r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14:paraId="0000009E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История</w:t>
            </w:r>
            <w:r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развития</w:t>
            </w:r>
          </w:p>
          <w:p w14:paraId="0000009F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  <w:t>World Skills International</w:t>
            </w:r>
          </w:p>
          <w:p w14:paraId="000000A0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cnfStyle w:val="00000010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1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17-18 Практическое занятие   «Чемпионаты WorldSkills International».</w:t>
            </w:r>
          </w:p>
          <w:p w14:paraId="000000A2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  <w:highlight w:val="yellow"/>
                <w:lang w:val="en-US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Просмотр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видеоролика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 xml:space="preserve"> «What is World Skills?» </w:t>
            </w:r>
          </w:p>
        </w:tc>
        <w:tc>
          <w:tcPr>
            <w:cnfStyle w:val="00000010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3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A4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136"/>
        </w:trPr>
        <w:tc>
          <w:tcPr>
            <w:cnfStyle w:val="001000010000"/>
            <w:tcW w:w="2706" w:type="dxa"/>
            <w:vMerge w:val="continue"/>
            <w:tcBorders>
              <w:right w:val="single" w:color="auto" w:sz="4" w:space="0"/>
            </w:tcBorders>
          </w:tcPr>
          <w:p w14:paraId="000000A5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01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6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19-20 Практическое занятие  «Техническая документация конкурсов World Skills International по компетенциям «Сантехника и отопление».</w:t>
            </w:r>
          </w:p>
        </w:tc>
        <w:tc>
          <w:tcPr>
            <w:cnfStyle w:val="00000001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7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A8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226"/>
        </w:trPr>
        <w:tc>
          <w:tcPr>
            <w:cnfStyle w:val="001000100000"/>
            <w:tcW w:w="2706" w:type="dxa"/>
            <w:vMerge w:val="continue"/>
            <w:tcBorders>
              <w:right w:val="single" w:color="auto" w:sz="4" w:space="0"/>
            </w:tcBorders>
          </w:tcPr>
          <w:p w14:paraId="000000A9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10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A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21-22 Практическое занятие   «Составление  монолога «Описание задания мирового чемпионата 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WSI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 (по вариантам)» Составление диалогов по заданным ситуациям»</w:t>
            </w:r>
          </w:p>
        </w:tc>
        <w:tc>
          <w:tcPr>
            <w:cnfStyle w:val="00000010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B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AC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3</w:t>
            </w:r>
          </w:p>
        </w:tc>
      </w:tr>
      <w:tr>
        <w:trPr>
          <w:trHeight w:val="366"/>
        </w:trPr>
        <w:tc>
          <w:tcPr>
            <w:cnfStyle w:val="001000010000"/>
            <w:tcW w:w="2706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000000AD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01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E">
            <w:pPr>
              <w:tabs>
                <w:tab w:val="left" w:pos="13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Самостоятельная работа:</w:t>
            </w:r>
          </w:p>
          <w:p w14:paraId="000000AF">
            <w:pPr>
              <w:numPr>
                <w:ilvl w:val="0"/>
                <w:numId w:val="3"/>
              </w:numPr>
              <w:tabs>
                <w:tab w:val="left" w:pos="1320"/>
              </w:tabs>
              <w:spacing w:before="0" w:after="0"/>
              <w:contextualSpacing w:val="on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Написать деловое письмо с решением какой-либо проблемы</w:t>
            </w:r>
          </w:p>
          <w:p w14:paraId="000000B0">
            <w:pPr>
              <w:numPr>
                <w:ilvl w:val="0"/>
                <w:numId w:val="3"/>
              </w:numPr>
              <w:tabs>
                <w:tab w:val="left" w:pos="1320"/>
              </w:tabs>
              <w:spacing w:before="0" w:after="0"/>
              <w:contextualSpacing w:val="on"/>
              <w:rPr>
                <w:rFonts w:ascii="Times New Roman" w:cs="Times New Roman" w:eastAsia="Calibri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Составить резюме</w:t>
            </w:r>
          </w:p>
        </w:tc>
        <w:tc>
          <w:tcPr>
            <w:cnfStyle w:val="00000001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1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cnfStyle w:val="00000001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B2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366"/>
        </w:trPr>
        <w:tc>
          <w:tcPr>
            <w:cnfStyle w:val="001000100000"/>
            <w:tcW w:w="2706" w:type="dxa"/>
            <w:vMerge w:val="restart"/>
            <w:tcBorders>
              <w:right w:val="single" w:color="auto" w:sz="4" w:space="0"/>
            </w:tcBorders>
          </w:tcPr>
          <w:p w14:paraId="000000B3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Тема 2.2</w:t>
            </w:r>
          </w:p>
          <w:p w14:paraId="000000B4">
            <w:pPr>
              <w:spacing w:before="0" w:after="0"/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Материалы, оборудование и инструменты по  компетенциям «Сантехника и отопление», «Электромонтаж»»  </w:t>
            </w:r>
          </w:p>
          <w:p w14:paraId="000000B5">
            <w:pPr>
              <w:tabs>
                <w:tab w:val="left" w:pos="55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(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materials, equipment and tools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)</w:t>
            </w:r>
          </w:p>
        </w:tc>
        <w:tc>
          <w:tcPr>
            <w:cnfStyle w:val="00000010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6">
            <w:pPr>
              <w:tabs>
                <w:tab w:val="left" w:pos="1320"/>
              </w:tabs>
              <w:spacing w:before="0" w:after="0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23-24 Практическое занятие  «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Where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is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it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? /  Где это?»: 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What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do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you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6"/>
                <w:szCs w:val="26"/>
                <w:lang w:val="en-US"/>
              </w:rPr>
              <w:t>want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? /  Что Вы </w:t>
            </w:r>
            <w:r>
              <w:rPr>
                <w:rFonts w:ascii="Times New Roman" w:cs="Times New Roman" w:eastAsia="Calibri" w:hAnsi="Times New Roman"/>
                <w:bCs/>
                <w:sz w:val="26"/>
                <w:szCs w:val="26"/>
              </w:rPr>
              <w:t xml:space="preserve">хотите? Введение лексических единиц. Составление диалогов. </w:t>
            </w:r>
          </w:p>
        </w:tc>
        <w:tc>
          <w:tcPr>
            <w:cnfStyle w:val="00000010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7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B8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366"/>
        </w:trPr>
        <w:tc>
          <w:tcPr>
            <w:cnfStyle w:val="001000010000"/>
            <w:tcW w:w="2706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000000B9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01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A">
            <w:pPr>
              <w:spacing w:before="0" w:after="0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25-26 Практическое занятие/П.П.   «Материалы, оборудование и инструменты по  компетенциям «Сантехника и отопление».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Работа с документом: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WSIInfrastructureList.</w:t>
            </w:r>
          </w:p>
        </w:tc>
        <w:tc>
          <w:tcPr>
            <w:cnfStyle w:val="00000001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BB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BC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503"/>
        </w:trPr>
        <w:tc>
          <w:tcPr>
            <w:cnfStyle w:val="001000100000"/>
            <w:tcW w:w="2706" w:type="dxa"/>
            <w:vMerge w:val="restart"/>
            <w:tcBorders>
              <w:right w:val="single" w:color="auto" w:sz="4" w:space="0"/>
            </w:tcBorders>
          </w:tcPr>
          <w:p w14:paraId="000000BD">
            <w:pPr>
              <w:tabs>
                <w:tab w:val="center" w:pos="1245"/>
                <w:tab w:val="right" w:pos="2490"/>
              </w:tabs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Тема</w:t>
            </w:r>
            <w:r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  <w:t xml:space="preserve"> 2.3</w:t>
            </w:r>
          </w:p>
          <w:p w14:paraId="000000BE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Чтение</w:t>
            </w:r>
            <w:r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чертежей</w:t>
            </w:r>
          </w:p>
          <w:p w14:paraId="000000BF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  <w:lang w:val="en-US"/>
              </w:rPr>
              <w:t>(Interpretation of Drawings)</w:t>
            </w:r>
          </w:p>
        </w:tc>
        <w:tc>
          <w:tcPr>
            <w:cnfStyle w:val="00000010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0">
            <w:pPr>
              <w:spacing w:before="0" w:after="0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27-28 Практическое занятие.  «Can you explain?» Обращение с вежливой просьбой.</w:t>
            </w:r>
          </w:p>
        </w:tc>
        <w:tc>
          <w:tcPr>
            <w:cnfStyle w:val="00000010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1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C2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366"/>
        </w:trPr>
        <w:tc>
          <w:tcPr>
            <w:cnfStyle w:val="001000010000"/>
            <w:tcW w:w="2706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000000C3">
            <w:pPr>
              <w:tabs>
                <w:tab w:val="center" w:pos="1245"/>
                <w:tab w:val="right" w:pos="2490"/>
              </w:tabs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01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4">
            <w:pPr>
              <w:spacing w:before="0" w:after="0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29-30 Практическое занятие/П.П.   «</w:t>
            </w:r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Чтение чертежей» 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Работа с документом: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WSITechnicalDescription </w:t>
            </w:r>
          </w:p>
        </w:tc>
        <w:tc>
          <w:tcPr>
            <w:cnfStyle w:val="00000001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5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C6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</w:p>
        </w:tc>
      </w:tr>
      <w:tr>
        <w:trPr>
          <w:trHeight w:val="366"/>
        </w:trPr>
        <w:tc>
          <w:tcPr>
            <w:cnfStyle w:val="001000100000"/>
            <w:tcW w:w="2706" w:type="dxa"/>
            <w:vMerge w:val="restart"/>
            <w:tcBorders>
              <w:right w:val="single" w:color="auto" w:sz="4" w:space="0"/>
            </w:tcBorders>
          </w:tcPr>
          <w:p w14:paraId="000000C7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Тема 2.4</w:t>
            </w:r>
          </w:p>
          <w:p w14:paraId="000000C8">
            <w:pPr>
              <w:tabs>
                <w:tab w:val="center" w:pos="1245"/>
                <w:tab w:val="right" w:pos="2490"/>
              </w:tabs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Организация рабочего места и презентация работы (Work organization and presentation)</w:t>
            </w:r>
          </w:p>
        </w:tc>
        <w:tc>
          <w:tcPr>
            <w:cnfStyle w:val="00000010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9">
            <w:pPr>
              <w:spacing w:before="0" w:after="0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31-32 Практическое занятие   «Организация рабочего места и презентация работы Аудирование: просмотр демонстрационного видеоролика WSI «A New Look At Skills»</w:t>
            </w:r>
          </w:p>
        </w:tc>
        <w:tc>
          <w:tcPr>
            <w:cnfStyle w:val="00000010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A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CB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366"/>
        </w:trPr>
        <w:tc>
          <w:tcPr>
            <w:cnfStyle w:val="001000010000"/>
            <w:tcW w:w="2706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000000CC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01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D">
            <w:pPr>
              <w:spacing w:before="0" w:after="0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33-34 Практическое занятие   «What have you done? Отрицательные префиксы.</w:t>
            </w:r>
          </w:p>
        </w:tc>
        <w:tc>
          <w:tcPr>
            <w:cnfStyle w:val="00000001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E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CF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366"/>
        </w:trPr>
        <w:tc>
          <w:tcPr>
            <w:cnfStyle w:val="001000100000"/>
            <w:tcW w:w="2706" w:type="dxa"/>
            <w:vMerge w:val="restart"/>
            <w:tcBorders>
              <w:right w:val="single" w:color="auto" w:sz="4" w:space="0"/>
            </w:tcBorders>
          </w:tcPr>
          <w:p w14:paraId="000000D0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Тема 2.5</w:t>
            </w:r>
          </w:p>
          <w:p w14:paraId="000000D1">
            <w:pPr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Техника безопасности</w:t>
            </w:r>
          </w:p>
          <w:p w14:paraId="000000D2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(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Safety  requirements</w:t>
            </w: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)</w:t>
            </w:r>
          </w:p>
        </w:tc>
        <w:tc>
          <w:tcPr>
            <w:cnfStyle w:val="00000010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3">
            <w:pPr>
              <w:spacing w:before="0" w:after="0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35-36 .Практическое занятие  Техника безопасности.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Работа с документом: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val="en-US" w:eastAsia="ru-RU"/>
              </w:rPr>
              <w:t>WSIHealt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val="en-US" w:eastAsia="ru-RU"/>
              </w:rPr>
              <w:t>and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val="en-US" w:eastAsia="ru-RU"/>
              </w:rPr>
              <w:t>Safety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val="en-US" w:eastAsia="ru-RU"/>
              </w:rPr>
              <w:t>documentation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cnfStyle w:val="00000010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4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D5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366"/>
        </w:trPr>
        <w:tc>
          <w:tcPr>
            <w:cnfStyle w:val="001000010000"/>
            <w:tcW w:w="2706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000000D6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01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7">
            <w:pPr>
              <w:tabs>
                <w:tab w:val="left" w:pos="1320"/>
              </w:tabs>
              <w:spacing w:before="0" w:after="0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sz w:val="26"/>
                <w:szCs w:val="26"/>
              </w:rPr>
              <w:t>Самостоятельная работа:</w:t>
            </w:r>
          </w:p>
          <w:p w14:paraId="000000D8">
            <w:pPr>
              <w:spacing w:before="0" w:after="0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cnfStyle w:val="00000001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9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DA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</w:p>
        </w:tc>
      </w:tr>
      <w:tr>
        <w:trPr>
          <w:trHeight w:val="366"/>
        </w:trPr>
        <w:tc>
          <w:tcPr>
            <w:cnfStyle w:val="001000100000"/>
            <w:tcW w:w="2706" w:type="dxa"/>
            <w:tcBorders>
              <w:bottom w:val="single" w:color="auto" w:sz="4" w:space="0"/>
              <w:right w:val="single" w:color="auto" w:sz="4" w:space="0"/>
            </w:tcBorders>
          </w:tcPr>
          <w:p w14:paraId="000000DB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cnfStyle w:val="000000100000"/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C">
            <w:pPr>
              <w:spacing w:before="0" w:after="0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37-38. Повторение. Подготовка к диф.зачету.  </w:t>
            </w:r>
          </w:p>
        </w:tc>
        <w:tc>
          <w:tcPr>
            <w:cnfStyle w:val="000000100000"/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D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cnfStyle w:val="000000100000"/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DE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2</w:t>
            </w:r>
          </w:p>
        </w:tc>
      </w:tr>
      <w:tr>
        <w:trPr>
          <w:trHeight w:val="157"/>
        </w:trPr>
        <w:tc>
          <w:tcPr>
            <w:cnfStyle w:val="001000010000"/>
            <w:tcW w:w="12467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000000DF">
            <w:pPr>
              <w:tabs>
                <w:tab w:val="left" w:pos="5520"/>
              </w:tabs>
              <w:spacing w:before="0" w:after="0"/>
              <w:jc w:val="right"/>
              <w:rPr>
                <w:rFonts w:ascii="Times New Roman" w:cs="Times New Roman" w:eastAsia="Calibri" w:hAnsi="Times New Roman"/>
                <w:b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cs="Times New Roman" w:eastAsia="Calibri" w:hAnsi="Times New Roman"/>
                <w:b/>
                <w:i/>
                <w:sz w:val="26"/>
                <w:szCs w:val="26"/>
              </w:rPr>
              <w:t>39-40Дифференцированный зачет</w:t>
            </w: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 xml:space="preserve">.  </w:t>
            </w:r>
            <w:r>
              <w:rPr>
                <w:rFonts w:ascii="Times New Roman" w:cs="Times New Roman" w:eastAsia="Calibri" w:hAnsi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cnfStyle w:val="000000010000"/>
            <w:tcW w:w="1721" w:type="dxa"/>
            <w:tcBorders>
              <w:top w:val="single" w:color="auto" w:sz="4" w:space="0"/>
              <w:left w:val="single" w:color="auto" w:sz="4" w:space="0"/>
            </w:tcBorders>
          </w:tcPr>
          <w:p w14:paraId="000000E0">
            <w:pPr>
              <w:spacing w:before="0" w:after="0"/>
              <w:jc w:val="center"/>
              <w:rPr>
                <w:rFonts w:ascii="Times New Roman" w:cs="Times New Roman" w:eastAsia="Calibri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cnfStyle w:val="000000010000"/>
            <w:tcW w:w="1262" w:type="dxa"/>
            <w:tcBorders>
              <w:top w:val="single" w:color="auto" w:sz="4" w:space="0"/>
              <w:left w:val="single" w:color="auto" w:sz="4" w:space="0"/>
            </w:tcBorders>
          </w:tcPr>
          <w:p w14:paraId="000000E1">
            <w:pPr>
              <w:spacing w:before="0" w:after="0"/>
              <w:jc w:val="center"/>
              <w:rPr>
                <w:rFonts w:ascii="Times New Roman" w:cs="Times New Roman" w:eastAsia="Calibri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sz w:val="26"/>
                <w:szCs w:val="26"/>
              </w:rPr>
              <w:t>3</w:t>
            </w:r>
          </w:p>
        </w:tc>
      </w:tr>
    </w:tbl>
    <w:p w14:paraId="000000E2">
      <w:pPr>
        <w:spacing w:after="0" w:line="240" w:lineRule="auto"/>
        <w:ind w:left="284"/>
        <w:contextualSpacing w:val="on"/>
        <w:rPr>
          <w:rFonts w:ascii="Times New Roman" w:cs="Times New Roman" w:eastAsia="Times New Roman" w:hAnsi="Times New Roman"/>
          <w:b/>
          <w:sz w:val="26"/>
          <w:szCs w:val="26"/>
        </w:rPr>
      </w:pPr>
    </w:p>
    <w:p w14:paraId="000000E3">
      <w:pPr>
        <w:spacing w:after="200" w:line="276" w:lineRule="auto"/>
        <w:jc w:val="center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ab/>
      </w:r>
      <w:r>
        <w:rPr>
          <w:rFonts w:ascii="Times New Roman" w:cs="Times New Roman" w:eastAsia="Calibri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cs="Times New Roman" w:eastAsia="Calibri" w:hAnsi="Times New Roman"/>
          <w:bCs/>
          <w:sz w:val="26"/>
          <w:szCs w:val="26"/>
        </w:rPr>
        <w:t>:</w:t>
      </w:r>
    </w:p>
    <w:p w14:paraId="000000E4">
      <w:pPr>
        <w:spacing w:after="0" w:line="240" w:lineRule="auto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000000E5">
      <w:pPr>
        <w:spacing w:after="0" w:line="240" w:lineRule="auto"/>
        <w:rPr>
          <w:rFonts w:ascii="Times New Roman" w:cs="Times New Roman" w:eastAsia="Calibri" w:hAnsi="Times New Roman"/>
          <w:bCs/>
          <w:sz w:val="26"/>
          <w:szCs w:val="26"/>
        </w:rPr>
      </w:pPr>
      <w:r>
        <w:rPr>
          <w:rFonts w:ascii="Times New Roman" w:cs="Times New Roman" w:eastAsia="Calibri" w:hAnsi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000000E6"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sectPr>
          <w:type w:val="continuous"/>
          <w:pgSz w:w="16838" w:h="11906" w:orient="landscape"/>
          <w:pgMar w:top="851" w:right="851" w:bottom="1134" w:left="1134" w:header="709" w:footer="709" w:gutter="0"/>
          <w:cols w:space="720"/>
        </w:sectPr>
      </w:pPr>
      <w:r>
        <w:rPr>
          <w:rFonts w:ascii="Times New Roman" w:cs="Times New Roman" w:eastAsia="Calibri" w:hAnsi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  <w:r>
        <w:rPr>
          <w:rFonts w:ascii="Times New Roman" w:cs="Times New Roman" w:eastAsia="Calibri" w:hAnsi="Times New Roman"/>
          <w:sz w:val="26"/>
          <w:szCs w:val="26"/>
        </w:rPr>
        <w:t>
</w:t>
      </w:r>
    </w:p>
    <w:p w14:paraId="000000E7">
      <w:pPr>
        <w:spacing w:after="200" w:line="276" w:lineRule="auto"/>
        <w:jc w:val="center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>3. УСЛОВИЯ РЕАЛИЗАЦИИ УЧЕБНОЙ ДИСЦИПЛИНЫ</w:t>
      </w:r>
    </w:p>
    <w:p w14:paraId="000000E8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14:paraId="000000E9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Для реализации учебной дисциплины имеется в наличии учебный кабинет «Иностранный язык в профессиональной деятельности».</w:t>
      </w:r>
    </w:p>
    <w:p w14:paraId="000000EA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Оборудование учебного кабинета включает в себя: </w:t>
      </w:r>
    </w:p>
    <w:p w14:paraId="000000EB">
      <w:pPr>
        <w:numPr>
          <w:ilvl w:val="0"/>
          <w:numId w:val="4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Доска;</w:t>
      </w:r>
    </w:p>
    <w:p w14:paraId="000000EC">
      <w:pPr>
        <w:numPr>
          <w:ilvl w:val="0"/>
          <w:numId w:val="4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Посадочные места</w:t>
      </w:r>
    </w:p>
    <w:p w14:paraId="000000ED">
      <w:pPr>
        <w:numPr>
          <w:ilvl w:val="0"/>
          <w:numId w:val="4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Рабочее место преподавателя</w:t>
      </w:r>
    </w:p>
    <w:p w14:paraId="000000EE">
      <w:pPr>
        <w:numPr>
          <w:ilvl w:val="0"/>
          <w:numId w:val="4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14:paraId="000000EF">
      <w:pPr>
        <w:numPr>
          <w:ilvl w:val="0"/>
          <w:numId w:val="4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Мультимедийное оборудование (компьютер) </w:t>
      </w:r>
    </w:p>
    <w:p w14:paraId="000000F0">
      <w:pPr>
        <w:numPr>
          <w:ilvl w:val="0"/>
          <w:numId w:val="4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Инструкция по их использованию и техника безопасности</w:t>
      </w:r>
    </w:p>
    <w:p w14:paraId="000000F1">
      <w:pPr>
        <w:numPr>
          <w:ilvl w:val="0"/>
          <w:numId w:val="4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>Библиотечный фонд: учебники и учебно-методические комплекты</w:t>
      </w:r>
    </w:p>
    <w:p w14:paraId="000000F2">
      <w:pPr>
        <w:spacing w:after="0" w:line="240" w:lineRule="auto"/>
        <w:ind w:left="0" w:right="0" w:firstLine="0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</w:p>
    <w:p w14:paraId="000000F3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>3.2.Информационное обеспечение обучения</w:t>
      </w:r>
    </w:p>
    <w:p w14:paraId="000000F4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F5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bCs/>
          <w:color w:val="000000"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>Основные источники:</w:t>
      </w:r>
      <w:r>
        <w:rPr>
          <w:rFonts w:ascii="Times New Roman" w:cs="Times New Roman" w:eastAsia="Calibri" w:hAnsi="Times New Roman"/>
          <w:bCs/>
          <w:color w:val="000000"/>
          <w:sz w:val="26"/>
          <w:szCs w:val="26"/>
        </w:rPr>
        <w:t xml:space="preserve"> </w:t>
      </w:r>
    </w:p>
    <w:p w14:paraId="000000F6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color w:val="0563c1"/>
          <w:sz w:val="26"/>
          <w:szCs w:val="26"/>
          <w:u w:val="single"/>
        </w:rPr>
      </w:pPr>
      <w:r>
        <w:rPr>
          <w:rFonts w:ascii="Times New Roman" w:cs="Times New Roman" w:eastAsia="Calibri" w:hAnsi="Times New Roman"/>
          <w:b/>
          <w:bCs/>
          <w:color w:val="000000"/>
          <w:sz w:val="26"/>
          <w:szCs w:val="26"/>
        </w:rPr>
        <w:t xml:space="preserve">Электронная библиотечная система </w:t>
      </w:r>
      <w:r>
        <w:rPr>
          <w:rFonts w:ascii="Times New Roman" w:cs="Times New Roman" w:eastAsia="Calibri" w:hAnsi="Times New Roman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color w:val="0563c1"/>
          <w:sz w:val="26"/>
          <w:szCs w:val="26"/>
          <w:u w:val="single"/>
        </w:rPr>
        <w:fldChar w:fldCharType="begin"/>
      </w:r>
      <w:r>
        <w:rPr>
          <w:rFonts w:ascii="Times New Roman" w:cs="Times New Roman" w:eastAsia="Calibri" w:hAnsi="Times New Roman"/>
          <w:color w:val="0563c1"/>
          <w:sz w:val="26"/>
          <w:szCs w:val="26"/>
          <w:u w:val="single"/>
        </w:rPr>
        <w:instrText xml:space="preserve">HYPERLINK "http://znanium.com/" </w:instrText>
      </w:r>
      <w:r>
        <w:rPr>
          <w:rFonts w:ascii="Times New Roman" w:cs="Times New Roman" w:eastAsia="Calibri" w:hAnsi="Times New Roman"/>
          <w:color w:val="0563c1"/>
          <w:sz w:val="26"/>
          <w:szCs w:val="26"/>
          <w:u w:val="single"/>
        </w:rPr>
        <w:fldChar w:fldCharType="separate"/>
      </w:r>
      <w:r>
        <w:rPr>
          <w:rFonts w:ascii="Times New Roman" w:cs="Times New Roman" w:eastAsia="Calibri" w:hAnsi="Times New Roman"/>
          <w:color w:val="0563c1"/>
          <w:sz w:val="26"/>
          <w:szCs w:val="26"/>
          <w:u w:val="single"/>
        </w:rPr>
        <w:t>http://znanium.com/</w:t>
      </w:r>
      <w:r>
        <w:rPr>
          <w:rFonts w:ascii="Times New Roman" w:cs="Times New Roman" w:eastAsia="Calibri" w:hAnsi="Times New Roman"/>
          <w:color w:val="0563c1"/>
          <w:sz w:val="26"/>
          <w:szCs w:val="26"/>
          <w:u w:val="single"/>
        </w:rPr>
        <w:fldChar w:fldCharType="end"/>
      </w:r>
    </w:p>
    <w:p w14:paraId="000000F7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1.Литвинская, С. С. Английский язык для технических специальностей : учебное пособие / С.С. Литвинская. — Москва : ИНФРА-М, 2023. — 252 c. — (Среднее профессиональное образование). - ISBN 978-5-16-014535-8. - Текст : электронный. - URL: 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fldChar w:fldCharType="begin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instrText xml:space="preserve">HYPERLINK "https://znanium.com/catalog/product/1902856" </w:instrTex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fldChar w:fldCharType="separate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https://znanium.com/catalog/product/1902856</w:t>
      </w:r>
      <w:r>
        <w:rPr>
          <w:rFonts w:ascii="Times New Roman" w:cs="Times New Roman" w:eastAsia="Calibri" w:hAnsi="Times New Roman"/>
          <w:sz w:val="26"/>
          <w:szCs w:val="26"/>
        </w:rPr>
        <w:fldChar w:fldCharType="end"/>
      </w:r>
      <w:r>
        <w:rPr>
          <w:rFonts w:ascii="Times New Roman" w:cs="Times New Roman" w:eastAsia="Calibri" w:hAnsi="Times New Roman"/>
          <w:sz w:val="26"/>
          <w:szCs w:val="26"/>
        </w:rPr>
        <w:t xml:space="preserve"> </w:t>
      </w:r>
    </w:p>
    <w:p w14:paraId="000000F8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 xml:space="preserve">     Дополнительные источники: </w:t>
      </w:r>
    </w:p>
    <w:p w14:paraId="000000F9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sz w:val="28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1. </w:t>
      </w:r>
      <w:r>
        <w:rPr>
          <w:rFonts w:ascii="Times New Roman" w:cs="Times New Roman" w:eastAsia="Calibri" w:hAnsi="Times New Roman"/>
          <w:sz w:val="28"/>
        </w:rPr>
        <w:t xml:space="preserve"> Маньковская, З. В. Английский язык в ситуациях повседневного делового общения : учебное пособие / З.В. Маньковская. — Москва : ИНФРА-М, 2023. — 223 с. — (Среднее профессиональное образование). - ISBN 978-5-16-014149-7. - Текст : электронный. - URL: </w:t>
      </w:r>
      <w:r>
        <w:rPr>
          <w:rFonts w:ascii="Times New Roman" w:cs="Times New Roman" w:eastAsia="Calibri" w:hAnsi="Times New Roman"/>
          <w:color w:val="0000ff"/>
          <w:sz w:val="28"/>
          <w:u w:val="single"/>
        </w:rPr>
        <w:fldChar w:fldCharType="begin"/>
      </w:r>
      <w:r>
        <w:rPr>
          <w:rFonts w:ascii="Times New Roman" w:cs="Times New Roman" w:eastAsia="Calibri" w:hAnsi="Times New Roman"/>
          <w:color w:val="0000ff"/>
          <w:sz w:val="28"/>
          <w:u w:val="single"/>
        </w:rPr>
        <w:instrText xml:space="preserve">HYPERLINK "https://znanium.com/catalog/product/1902093" </w:instrText>
      </w:r>
      <w:r>
        <w:rPr>
          <w:rFonts w:ascii="Times New Roman" w:cs="Times New Roman" w:eastAsia="Calibri" w:hAnsi="Times New Roman"/>
          <w:color w:val="0000ff"/>
          <w:sz w:val="28"/>
          <w:u w:val="single"/>
        </w:rPr>
        <w:fldChar w:fldCharType="separate"/>
      </w:r>
      <w:r>
        <w:rPr>
          <w:rFonts w:ascii="Times New Roman" w:cs="Times New Roman" w:eastAsia="Calibri" w:hAnsi="Times New Roman"/>
          <w:color w:val="0000ff"/>
          <w:sz w:val="28"/>
          <w:u w:val="single"/>
        </w:rPr>
        <w:t>https://znanium.com/catalog/product/1902093</w:t>
      </w:r>
      <w:r>
        <w:rPr>
          <w:rFonts w:ascii="Times New Roman" w:cs="Times New Roman" w:eastAsia="Calibri" w:hAnsi="Times New Roman"/>
          <w:sz w:val="28"/>
        </w:rPr>
        <w:fldChar w:fldCharType="end"/>
      </w:r>
      <w:r>
        <w:rPr>
          <w:rFonts w:ascii="Times New Roman" w:cs="Times New Roman" w:eastAsia="Calibri" w:hAnsi="Times New Roman"/>
          <w:sz w:val="28"/>
        </w:rPr>
        <w:t xml:space="preserve"> </w:t>
      </w:r>
    </w:p>
    <w:p w14:paraId="000000FA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 xml:space="preserve">Интернет-ресурсы: </w:t>
      </w:r>
    </w:p>
    <w:p w14:paraId="000000FB">
      <w:pPr>
        <w:numPr>
          <w:ilvl w:val="0"/>
          <w:numId w:val="5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www. lingvo-online. ru </w:t>
      </w:r>
    </w:p>
    <w:p w14:paraId="000000FC">
      <w:pPr>
        <w:numPr>
          <w:ilvl w:val="0"/>
          <w:numId w:val="5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  <w:lang w:val="en-US"/>
        </w:rPr>
        <w:t>English.language.ru</w:t>
      </w:r>
    </w:p>
    <w:p w14:paraId="000000FD">
      <w:pPr>
        <w:numPr>
          <w:ilvl w:val="0"/>
          <w:numId w:val="5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www. britannica. com </w:t>
      </w:r>
    </w:p>
    <w:p w14:paraId="000000FE">
      <w:pPr>
        <w:numPr>
          <w:ilvl w:val="0"/>
          <w:numId w:val="5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  <w:lang w:val="en-US"/>
        </w:rPr>
      </w:pPr>
      <w:r>
        <w:rPr>
          <w:rFonts w:ascii="Times New Roman" w:cs="Times New Roman" w:eastAsia="Calibri" w:hAnsi="Times New Roman"/>
          <w:sz w:val="26"/>
          <w:szCs w:val="26"/>
          <w:lang w:val="en-US"/>
        </w:rPr>
        <w:t xml:space="preserve">www. ldoceonline. com </w:t>
      </w:r>
    </w:p>
    <w:p w14:paraId="000000FF">
      <w:pPr>
        <w:numPr>
          <w:ilvl w:val="0"/>
          <w:numId w:val="5"/>
        </w:numPr>
        <w:spacing w:after="0" w:line="240" w:lineRule="auto"/>
        <w:ind w:left="0" w:firstLine="567"/>
        <w:contextualSpacing w:val="on"/>
        <w:jc w:val="both"/>
        <w:rPr>
          <w:rFonts w:ascii="Times New Roman" w:cs="Times New Roman" w:eastAsia="Calibri" w:hAnsi="Times New Roman"/>
          <w:sz w:val="26"/>
          <w:szCs w:val="26"/>
          <w:lang w:val="en-US"/>
        </w:rPr>
      </w:pPr>
      <w:r>
        <w:rPr>
          <w:rFonts w:ascii="Times New Roman" w:cs="Times New Roman" w:eastAsia="Calibri" w:hAnsi="Times New Roman"/>
          <w:sz w:val="26"/>
          <w:szCs w:val="26"/>
          <w:lang w:val="en-US"/>
        </w:rPr>
        <w:t>http://znanium.com/</w:t>
      </w:r>
    </w:p>
    <w:p w14:paraId="00000100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b/>
          <w:sz w:val="26"/>
          <w:szCs w:val="26"/>
          <w:lang w:val="en-US"/>
        </w:rPr>
      </w:pPr>
      <w:r>
        <w:rPr>
          <w:rFonts w:ascii="Times New Roman" w:cs="Times New Roman" w:eastAsia="Calibri" w:hAnsi="Times New Roman"/>
          <w:b/>
          <w:sz w:val="26"/>
          <w:szCs w:val="26"/>
          <w:lang w:val="en-US"/>
        </w:rPr>
        <w:t xml:space="preserve">Сервисы и инструменты: </w:t>
      </w:r>
    </w:p>
    <w:p w14:paraId="00000101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1. 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Skype</w:t>
      </w:r>
      <w:r>
        <w:rPr>
          <w:rFonts w:ascii="Times New Roman" w:cs="Times New Roman" w:eastAsia="Calibri" w:hAnsi="Times New Roman"/>
          <w:sz w:val="26"/>
          <w:szCs w:val="26"/>
        </w:rPr>
        <w:t xml:space="preserve"> (режим доступа: 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https</w:t>
      </w:r>
      <w:r>
        <w:rPr>
          <w:rFonts w:ascii="Times New Roman" w:cs="Times New Roman" w:eastAsia="Calibri" w:hAnsi="Times New Roman"/>
          <w:sz w:val="26"/>
          <w:szCs w:val="26"/>
        </w:rPr>
        <w:t>://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www</w:t>
      </w:r>
      <w:r>
        <w:rPr>
          <w:rFonts w:ascii="Times New Roman" w:cs="Times New Roman" w:eastAsia="Calibri" w:hAnsi="Times New Roman"/>
          <w:sz w:val="26"/>
          <w:szCs w:val="26"/>
        </w:rPr>
        <w:t>.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skype</w:t>
      </w:r>
      <w:r>
        <w:rPr>
          <w:rFonts w:ascii="Times New Roman" w:cs="Times New Roman" w:eastAsia="Calibri" w:hAnsi="Times New Roman"/>
          <w:sz w:val="26"/>
          <w:szCs w:val="26"/>
        </w:rPr>
        <w:t>.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com</w:t>
      </w:r>
      <w:r>
        <w:rPr>
          <w:rFonts w:ascii="Times New Roman" w:cs="Times New Roman" w:eastAsia="Calibri" w:hAnsi="Times New Roman"/>
          <w:sz w:val="26"/>
          <w:szCs w:val="26"/>
        </w:rPr>
        <w:t xml:space="preserve">/) </w:t>
      </w:r>
    </w:p>
    <w:p w14:paraId="00000102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2. 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Zoom</w:t>
      </w:r>
      <w:r>
        <w:rPr>
          <w:rFonts w:ascii="Times New Roman" w:cs="Times New Roman" w:eastAsia="Calibri" w:hAnsi="Times New Roman"/>
          <w:sz w:val="26"/>
          <w:szCs w:val="26"/>
        </w:rPr>
        <w:t xml:space="preserve"> (режим доступа: 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https</w:t>
      </w:r>
      <w:r>
        <w:rPr>
          <w:rFonts w:ascii="Times New Roman" w:cs="Times New Roman" w:eastAsia="Calibri" w:hAnsi="Times New Roman"/>
          <w:sz w:val="26"/>
          <w:szCs w:val="26"/>
        </w:rPr>
        <w:t>://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zoom</w:t>
      </w:r>
      <w:r>
        <w:rPr>
          <w:rFonts w:ascii="Times New Roman" w:cs="Times New Roman" w:eastAsia="Calibri" w:hAnsi="Times New Roman"/>
          <w:sz w:val="26"/>
          <w:szCs w:val="26"/>
        </w:rPr>
        <w:t>.</w:t>
      </w:r>
      <w:r>
        <w:rPr>
          <w:rFonts w:ascii="Times New Roman" w:cs="Times New Roman" w:eastAsia="Calibri" w:hAnsi="Times New Roman"/>
          <w:sz w:val="26"/>
          <w:szCs w:val="26"/>
          <w:lang w:val="en-US"/>
        </w:rPr>
        <w:t>us</w:t>
      </w:r>
      <w:r>
        <w:rPr>
          <w:rFonts w:ascii="Times New Roman" w:cs="Times New Roman" w:eastAsia="Calibri" w:hAnsi="Times New Roman"/>
          <w:sz w:val="26"/>
          <w:szCs w:val="26"/>
        </w:rPr>
        <w:t>/)</w:t>
      </w:r>
    </w:p>
    <w:p w14:paraId="00000103">
      <w:pPr>
        <w:spacing w:after="0" w:line="240" w:lineRule="auto"/>
        <w:ind w:left="0" w:firstLine="567"/>
        <w:jc w:val="both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3. 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fldChar w:fldCharType="begin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instrText xml:space="preserve">HYPERLINK "https://disk.yandex.ru/" </w:instrTex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fldChar w:fldCharType="separate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t>https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://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t>disk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.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t>yandex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.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  <w:lang w:val="en-US"/>
        </w:rPr>
        <w:t>ru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/</w:t>
      </w:r>
      <w:r>
        <w:rPr>
          <w:rFonts w:ascii="Times New Roman" w:cs="Times New Roman" w:eastAsia="Calibri" w:hAnsi="Times New Roman"/>
          <w:sz w:val="26"/>
          <w:szCs w:val="26"/>
        </w:rPr>
        <w:fldChar w:fldCharType="end"/>
      </w:r>
    </w:p>
    <w:p w14:paraId="00000104"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105"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  <w:p w14:paraId="00000106">
    <w:pPr>
      <w:pStyle w:val="Footer"/>
      <w:rPr/>
    </w:pP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b w:val="off"/>
        <w:i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entative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Основнойтекст(3)">
    <w:name w:val="Основной текст (3)"/>
    <w:basedOn w:val="Normal"/>
    <w:link w:val="Основнойтекст(3)_"/>
    <w:uiPriority w:val="0"/>
    <w:pPr>
      <w:widowControl w:val="off"/>
      <w:shd w:val="clear" w:color="auto" w:fill="ffffff"/>
      <w:spacing w:line="0" w:lineRule="atLeast"/>
    </w:pPr>
    <w:rPr>
      <w:rFonts w:ascii="Impact" w:cs="Impact" w:eastAsia="Impact" w:hAnsi="Impact"/>
      <w:i/>
      <w:iCs/>
      <w:sz w:val="76"/>
      <w:szCs w:val="76"/>
      <w:lang w:eastAsia="ru-RU"/>
    </w:rPr>
  </w:style>
  <w:style w:type="character" w:customStyle="1" w:styleId="Основнойтекст(3)_">
    <w:name w:val="Основной текст (3)_"/>
    <w:link w:val="Основнойтекст(3)"/>
    <w:uiPriority w:val="0"/>
    <w:rPr>
      <w:rFonts w:ascii="Impact" w:cs="Impact" w:eastAsia="Impact" w:hAnsi="Impact"/>
      <w:i/>
      <w:iCs/>
      <w:sz w:val="76"/>
      <w:szCs w:val="76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</cp:coreProperties>
</file>